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中华人民共和国商标法核心要素深度梳理</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30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本文档对《中华人民共和国商标法》的核心条款、业务流程、法律风险及维权救济进行了系统性的重构与可视化表格梳理，旨在为企业知识产权管理及法律合规提供清晰、高容量的深度参考。</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1a73e8"/>
        </w:rPr>
      </w:pPr>
      <w:r w:rsidDel="00000000" w:rsidR="00000000" w:rsidRPr="00000000">
        <w:rPr>
          <w:rFonts w:ascii="Arial Unicode MS" w:cs="Arial Unicode MS" w:eastAsia="Arial Unicode MS" w:hAnsi="Arial Unicode MS"/>
          <w:color w:val="1a73e8"/>
          <w:rtl w:val="0"/>
        </w:rPr>
        <w:t xml:space="preserve">一、 商标构成要素与准入边界（核心法条：第8、10、11、13条）</w:t>
      </w:r>
    </w:p>
    <w:tbl>
      <w:tblPr>
        <w:tblStyle w:val="Table1"/>
        <w:tblW w:w="93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dddddd" w:space="0" w:sz="6" w:val="single"/>
              <w:left w:color="dddddd" w:space="0" w:sz="6" w:val="single"/>
              <w:bottom w:color="dddddd" w:space="0" w:sz="6" w:val="single"/>
              <w:right w:color="dddddd" w:space="0" w:sz="6" w:val="single"/>
            </w:tcBorders>
            <w:shd w:fill="1a73e8" w:val="clear"/>
            <w:tcMar>
              <w:top w:w="150.0" w:type="dxa"/>
              <w:left w:w="150.0" w:type="dxa"/>
              <w:bottom w:w="150.0" w:type="dxa"/>
              <w:right w:w="15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核心维度</w:t>
            </w:r>
          </w:p>
        </w:tc>
        <w:tc>
          <w:tcPr>
            <w:tcBorders>
              <w:top w:color="dddddd" w:space="0" w:sz="6" w:val="single"/>
              <w:left w:color="dddddd" w:space="0" w:sz="6" w:val="single"/>
              <w:bottom w:color="dddddd" w:space="0" w:sz="6" w:val="single"/>
              <w:right w:color="dddddd" w:space="0" w:sz="6" w:val="single"/>
            </w:tcBorders>
            <w:shd w:fill="1a73e8" w:val="clear"/>
            <w:tcMar>
              <w:top w:w="150.0" w:type="dxa"/>
              <w:left w:w="150.0" w:type="dxa"/>
              <w:bottom w:w="150.0" w:type="dxa"/>
              <w:right w:w="15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法律规定与具体要求</w:t>
            </w:r>
          </w:p>
        </w:tc>
        <w:tc>
          <w:tcPr>
            <w:tcBorders>
              <w:top w:color="dddddd" w:space="0" w:sz="6" w:val="single"/>
              <w:left w:color="dddddd" w:space="0" w:sz="6" w:val="single"/>
              <w:bottom w:color="dddddd" w:space="0" w:sz="6" w:val="single"/>
              <w:right w:color="dddddd" w:space="0" w:sz="6" w:val="single"/>
            </w:tcBorders>
            <w:shd w:fill="1a73e8" w:val="clear"/>
            <w:tcMar>
              <w:top w:w="150.0" w:type="dxa"/>
              <w:left w:w="150.0" w:type="dxa"/>
              <w:bottom w:w="150.0" w:type="dxa"/>
              <w:right w:w="15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典型示例与合规要点</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合法构成要素</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任何能够将自然人、法人或者其他组织的商品与他人的商品区别开的标志，包括文字、图形、字母、数字、三维标志、颜色组合和声音等，以及上述要素的组合。</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必须具备“显著特征”，便于识别。近年来声音商标（如特定提示音）已纳入保护。</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绝对禁止条款（第10条）</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同国家名称、国旗、国徽、军旗等相同或近似的；带有民族歧视性的；带有欺骗性，易使公众对商品质量等特点产生误认的；有害社会主义道德风尚的；县级以上行政区划地名（有例外）。</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属于绝对无效事由，任何人任何时候都可以提出无效宣告，国家知识产权局亦可主动宣告无效。</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缺乏显著性条款（第11条）</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仅有本商品的通用名称、图形、型号的；仅直接表示商品的质量、主要原料、功能、用途、重量、数量及其他特点的；其他缺乏显著特征的。</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如在水果商品上注册“苹果”文字（通用名称）。但通过长期使用取得显著特征并便于识别的，可以作为商标注册（通过使用获得显著性）。</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驰名商标跨类保护（第13条）</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为相关公众所熟知的商标，持有人认为其权利受到侵害时，可以依照本法请求驰名商标保护。未注册的在相同类似商品上禁止使用；已注册的，针对不相同或不相类似商品恶意误导、致使驰名商标注册人利益可能受到损害的，禁止注册和使用。</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实行“个案认定、被动保护”原则。严禁在商品包装、广告宣传中炒作“驰名商标”字样。</w:t>
            </w:r>
          </w:p>
        </w:tc>
      </w:tr>
    </w:tbl>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spacing w:before="300" w:lineRule="auto"/>
        <w:rPr>
          <w:rFonts w:ascii="Arial" w:cs="Arial" w:eastAsia="Arial" w:hAnsi="Arial"/>
          <w:color w:val="34a853"/>
        </w:rPr>
      </w:pPr>
      <w:r w:rsidDel="00000000" w:rsidR="00000000" w:rsidRPr="00000000">
        <w:rPr>
          <w:rFonts w:ascii="Arial Unicode MS" w:cs="Arial Unicode MS" w:eastAsia="Arial Unicode MS" w:hAnsi="Arial Unicode MS"/>
          <w:color w:val="34a853"/>
          <w:rtl w:val="0"/>
        </w:rPr>
        <w:t xml:space="preserve">二、 商标注册审查、异议与确权流程（核心法条：第22-36条）</w:t>
      </w:r>
    </w:p>
    <w:tbl>
      <w:tblPr>
        <w:tblStyle w:val="Table2"/>
        <w:tblW w:w="93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dddddd" w:space="0" w:sz="6" w:val="single"/>
              <w:left w:color="dddddd" w:space="0" w:sz="6" w:val="single"/>
              <w:bottom w:color="dddddd" w:space="0" w:sz="6" w:val="single"/>
              <w:right w:color="dddddd" w:space="0" w:sz="6" w:val="single"/>
            </w:tcBorders>
            <w:shd w:fill="34a853" w:val="clear"/>
            <w:tcMar>
              <w:top w:w="150.0" w:type="dxa"/>
              <w:left w:w="150.0" w:type="dxa"/>
              <w:bottom w:w="150.0" w:type="dxa"/>
              <w:right w:w="15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流程阶段</w:t>
            </w:r>
          </w:p>
        </w:tc>
        <w:tc>
          <w:tcPr>
            <w:tcBorders>
              <w:top w:color="dddddd" w:space="0" w:sz="6" w:val="single"/>
              <w:left w:color="dddddd" w:space="0" w:sz="6" w:val="single"/>
              <w:bottom w:color="dddddd" w:space="0" w:sz="6" w:val="single"/>
              <w:right w:color="dddddd" w:space="0" w:sz="6" w:val="single"/>
            </w:tcBorders>
            <w:shd w:fill="34a853" w:val="clear"/>
            <w:tcMar>
              <w:top w:w="150.0" w:type="dxa"/>
              <w:left w:w="150.0" w:type="dxa"/>
              <w:bottom w:w="150.0" w:type="dxa"/>
              <w:right w:w="15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法定限时 / 核心规则</w:t>
            </w:r>
          </w:p>
        </w:tc>
        <w:tc>
          <w:tcPr>
            <w:tcBorders>
              <w:top w:color="dddddd" w:space="0" w:sz="6" w:val="single"/>
              <w:left w:color="dddddd" w:space="0" w:sz="6" w:val="single"/>
              <w:bottom w:color="dddddd" w:space="0" w:sz="6" w:val="single"/>
              <w:right w:color="dddddd" w:space="0" w:sz="6" w:val="single"/>
            </w:tcBorders>
            <w:shd w:fill="34a853" w:val="clear"/>
            <w:tcMar>
              <w:top w:w="150.0" w:type="dxa"/>
              <w:left w:w="150.0" w:type="dxa"/>
              <w:bottom w:w="150.0" w:type="dxa"/>
              <w:right w:w="15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程序要点与法律后果</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1. 申请与分类</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一标多类申请制（尼斯分类）</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遵循“申请在先原则”。同日申请的，提供“使用在先”证明；同日使用或均未使用的，抽签决定。</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2. 形式与实质审查</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9个月（可延长3个月）</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国家知识产权局对不符合规定或同他人同种/类似商品上已注册/初步审定的商标相同或近似的，予以驳回，不予公告。</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3. 驳回复审程序</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收到通知15天内申请复审</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国知局应在9个月内（可延3个月）做出决定。对复审决定不服的，可在30天内向北京知识产权法院提起行政诉讼。</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4. 初步审定公告与异议</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公告期：3个月</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在先权利人、利害关系人可依据相对理由（或任何人依据绝对理由）向国知局提出异议。异议审查期一般为12个月。</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5. 核准注册</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公告期满无异议或异议不成立</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发给商标注册证，并予公告。商标注册人自公告之日起享有注册商标专用权。</w:t>
            </w:r>
          </w:p>
        </w:tc>
      </w:tr>
    </w:tbl>
    <w:p w:rsidR="00000000" w:rsidDel="00000000" w:rsidP="00000000" w:rsidRDefault="00000000" w:rsidRPr="00000000" w14:paraId="00000028">
      <w:pPr>
        <w:pStyle w:val="Heading2"/>
        <w:pBdr>
          <w:top w:space="0" w:sz="0" w:val="nil"/>
          <w:left w:space="0" w:sz="0" w:val="nil"/>
          <w:bottom w:space="0" w:sz="0" w:val="nil"/>
          <w:right w:space="0" w:sz="0" w:val="nil"/>
          <w:between w:space="0" w:sz="0" w:val="nil"/>
        </w:pBdr>
        <w:shd w:fill="auto" w:val="clear"/>
        <w:spacing w:before="300" w:lineRule="auto"/>
        <w:rPr>
          <w:rFonts w:ascii="Arial" w:cs="Arial" w:eastAsia="Arial" w:hAnsi="Arial"/>
          <w:color w:val="fabc05"/>
        </w:rPr>
      </w:pPr>
      <w:r w:rsidDel="00000000" w:rsidR="00000000" w:rsidRPr="00000000">
        <w:rPr>
          <w:rFonts w:ascii="Arial Unicode MS" w:cs="Arial Unicode MS" w:eastAsia="Arial Unicode MS" w:hAnsi="Arial Unicode MS"/>
          <w:color w:val="fabc05"/>
          <w:rtl w:val="0"/>
        </w:rPr>
        <w:t xml:space="preserve">三、 商标权利维持与动态状态变更（核心法条：第39-49条）</w:t>
      </w:r>
    </w:p>
    <w:tbl>
      <w:tblPr>
        <w:tblStyle w:val="Table3"/>
        <w:tblW w:w="93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dddddd" w:space="0" w:sz="6" w:val="single"/>
              <w:left w:color="dddddd" w:space="0" w:sz="6" w:val="single"/>
              <w:bottom w:color="dddddd" w:space="0" w:sz="6" w:val="single"/>
              <w:right w:color="dddddd" w:space="0" w:sz="6" w:val="single"/>
            </w:tcBorders>
            <w:shd w:fill="fabc05" w:val="clear"/>
            <w:tcMar>
              <w:top w:w="150.0" w:type="dxa"/>
              <w:left w:w="150.0" w:type="dxa"/>
              <w:bottom w:w="150.0" w:type="dxa"/>
              <w:right w:w="15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权利变更事项</w:t>
            </w:r>
          </w:p>
        </w:tc>
        <w:tc>
          <w:tcPr>
            <w:tcBorders>
              <w:top w:color="dddddd" w:space="0" w:sz="6" w:val="single"/>
              <w:left w:color="dddddd" w:space="0" w:sz="6" w:val="single"/>
              <w:bottom w:color="dddddd" w:space="0" w:sz="6" w:val="single"/>
              <w:right w:color="dddddd" w:space="0" w:sz="6" w:val="single"/>
            </w:tcBorders>
            <w:shd w:fill="fabc05" w:val="clear"/>
            <w:tcMar>
              <w:top w:w="150.0" w:type="dxa"/>
              <w:left w:w="150.0" w:type="dxa"/>
              <w:bottom w:w="150.0" w:type="dxa"/>
              <w:right w:w="15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期限与前置条件</w:t>
            </w:r>
          </w:p>
        </w:tc>
        <w:tc>
          <w:tcPr>
            <w:tcBorders>
              <w:top w:color="dddddd" w:space="0" w:sz="6" w:val="single"/>
              <w:left w:color="dddddd" w:space="0" w:sz="6" w:val="single"/>
              <w:bottom w:color="dddddd" w:space="0" w:sz="6" w:val="single"/>
              <w:right w:color="dddddd" w:space="0" w:sz="6" w:val="single"/>
            </w:tcBorders>
            <w:shd w:fill="fabc05" w:val="clear"/>
            <w:tcMar>
              <w:top w:w="150.0" w:type="dxa"/>
              <w:left w:w="150.0" w:type="dxa"/>
              <w:bottom w:w="150.0" w:type="dxa"/>
              <w:right w:w="15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合规风险与预防措施</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商标续展</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有效期10年。期满前12个月内办理；未能办理的有6个月宽展期。</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宽展期满仍未提出申请的，注销其注册商标。续展无次数限制，实质使得商标权可无限期延长。</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商标转让</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转让人和受让人应当签订转让协议，并共同向国知局提出申请。</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b w:val="1"/>
                <w:bCs w:val="1"/>
                <w:shd w:fill="auto" w:val="clear"/>
                <w:rtl w:val="0"/>
              </w:rPr>
              <w:t xml:space="preserve">“一并转让原则”</w:t>
            </w:r>
            <w:r w:rsidDel="00000000" w:rsidR="00000000" w:rsidRPr="00000000">
              <w:rPr>
                <w:rFonts w:ascii="Arial Unicode MS" w:cs="Arial Unicode MS" w:eastAsia="Arial Unicode MS" w:hAnsi="Arial Unicode MS"/>
                <w:shd w:fill="auto" w:val="clear"/>
                <w:rtl w:val="0"/>
              </w:rPr>
              <w:t xml:space="preserve">：商标注册人对其在同一种或者类似商品上注册的相同或者近似的商标，应当一并转让，否则国知局不予核准。</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使用许可</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许可人应当自商标使用许可合同签订之日起及时报国知局备案。</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商标使用许可未经备案不得对抗善意第三人。许可人应当监督受让人商品质量，受让人必须在使用该商标的商品上标明其名称和商品产地。</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连续三年不使用撤销（“撤三”）</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成为固定商品通用名称或者“没有正当理由连续三年不使用”的。</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任何单位或者个人均可向国知局申请撤销该注册商标。商标注册人必须提交在过去三年内公开、真实、合法的商标使用证据，否则面临权利丧失风险。</w:t>
            </w:r>
          </w:p>
        </w:tc>
      </w:tr>
    </w:tbl>
    <w:p w:rsidR="00000000" w:rsidDel="00000000" w:rsidP="00000000" w:rsidRDefault="00000000" w:rsidRPr="00000000" w14:paraId="00000039">
      <w:pPr>
        <w:pStyle w:val="Heading2"/>
        <w:pBdr>
          <w:top w:space="0" w:sz="0" w:val="nil"/>
          <w:left w:space="0" w:sz="0" w:val="nil"/>
          <w:bottom w:space="0" w:sz="0" w:val="nil"/>
          <w:right w:space="0" w:sz="0" w:val="nil"/>
          <w:between w:space="0" w:sz="0" w:val="nil"/>
        </w:pBdr>
        <w:shd w:fill="auto" w:val="clear"/>
        <w:spacing w:before="300" w:lineRule="auto"/>
        <w:rPr>
          <w:rFonts w:ascii="Arial" w:cs="Arial" w:eastAsia="Arial" w:hAnsi="Arial"/>
          <w:color w:val="ea4335"/>
        </w:rPr>
      </w:pPr>
      <w:r w:rsidDel="00000000" w:rsidR="00000000" w:rsidRPr="00000000">
        <w:rPr>
          <w:rFonts w:ascii="Arial Unicode MS" w:cs="Arial Unicode MS" w:eastAsia="Arial Unicode MS" w:hAnsi="Arial Unicode MS"/>
          <w:color w:val="ea4335"/>
          <w:rtl w:val="0"/>
        </w:rPr>
        <w:t xml:space="preserve">四、 商标侵权判定、行政处罚与司法救济（核心法条：第57-68条）</w:t>
      </w:r>
    </w:p>
    <w:tbl>
      <w:tblPr>
        <w:tblStyle w:val="Table4"/>
        <w:tblW w:w="93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dddddd" w:space="0" w:sz="6" w:val="single"/>
              <w:left w:color="dddddd" w:space="0" w:sz="6" w:val="single"/>
              <w:bottom w:color="dddddd" w:space="0" w:sz="6" w:val="single"/>
              <w:right w:color="dddddd" w:space="0" w:sz="6" w:val="single"/>
            </w:tcBorders>
            <w:shd w:fill="ea4335" w:val="clear"/>
            <w:tcMar>
              <w:top w:w="150.0" w:type="dxa"/>
              <w:left w:w="150.0" w:type="dxa"/>
              <w:bottom w:w="150.0" w:type="dxa"/>
              <w:right w:w="15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救济与判定要素</w:t>
            </w:r>
          </w:p>
        </w:tc>
        <w:tc>
          <w:tcPr>
            <w:tcBorders>
              <w:top w:color="dddddd" w:space="0" w:sz="6" w:val="single"/>
              <w:left w:color="dddddd" w:space="0" w:sz="6" w:val="single"/>
              <w:bottom w:color="dddddd" w:space="0" w:sz="6" w:val="single"/>
              <w:right w:color="dddddd" w:space="0" w:sz="6" w:val="single"/>
            </w:tcBorders>
            <w:shd w:fill="ea4335" w:val="clear"/>
            <w:tcMar>
              <w:top w:w="150.0" w:type="dxa"/>
              <w:left w:w="150.0" w:type="dxa"/>
              <w:bottom w:w="150.0" w:type="dxa"/>
              <w:right w:w="15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法律规定与判定标准</w:t>
            </w:r>
          </w:p>
        </w:tc>
        <w:tc>
          <w:tcPr>
            <w:tcBorders>
              <w:top w:color="dddddd" w:space="0" w:sz="6" w:val="single"/>
              <w:left w:color="dddddd" w:space="0" w:sz="6" w:val="single"/>
              <w:bottom w:color="dddddd" w:space="0" w:sz="6" w:val="single"/>
              <w:right w:color="dddddd" w:space="0" w:sz="6" w:val="single"/>
            </w:tcBorders>
            <w:shd w:fill="ea4335" w:val="clear"/>
            <w:tcMar>
              <w:top w:w="150.0" w:type="dxa"/>
              <w:left w:w="150.0" w:type="dxa"/>
              <w:bottom w:w="150.0" w:type="dxa"/>
              <w:right w:w="15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ffffff"/>
                <w:shd w:fill="auto" w:val="clear"/>
              </w:rPr>
            </w:pPr>
            <w:r w:rsidDel="00000000" w:rsidR="00000000" w:rsidRPr="00000000">
              <w:rPr>
                <w:rFonts w:ascii="Arial Unicode MS" w:cs="Arial Unicode MS" w:eastAsia="Arial Unicode MS" w:hAnsi="Arial Unicode MS"/>
                <w:b w:val="1"/>
                <w:bCs w:val="1"/>
                <w:color w:val="ffffff"/>
                <w:shd w:fill="auto" w:val="clear"/>
                <w:rtl w:val="0"/>
              </w:rPr>
              <w:t xml:space="preserve">实务指南与量刑/处罚额度</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典型侵权行为判定（第57条）</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①未经许可在同种商品上使用相同商标；②未经许可在同种/类似商品上使用近似商标；③销售明知是侵犯注册商标专用权的商品；④伪造、擅自制造他人注册商标标识；⑤故意为侵权行为提供便利条件。</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判断核心在于是否“容易导致混淆”。司法实践中会综合考量商标显著性、知名度、商品关联度以及相关公众的注意程度。</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行政执法与处罚</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工商行政管理部门（现市场监督管理局）责令立即停止侵权行为，没收、销毁侵权商品和主要用于制造侵权商品、伪造注册商标标识的工具。</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违法经营额5万元以上的，可处违法经营额5倍以下的罚款；没有违法经营额或者违法经营额不足5万元的，可处25万元以下的罚款。构成犯罪的依法追究刑事责任。</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司法赔偿标准（第63条）</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rtl w:val="0"/>
              </w:rPr>
              <w:t xml:space="preserve">计算顺序：①权利人因被侵权所受到的实际损失；②侵权人因侵权所获得的利益；③该商标许可使用费的倍数合理确定。均无法确定的，由法院根据侵权情节判决</w:t>
            </w:r>
            <w:r w:rsidDel="00000000" w:rsidR="00000000" w:rsidRPr="00000000">
              <w:rPr>
                <w:rFonts w:ascii="Arial Unicode MS" w:cs="Arial Unicode MS" w:eastAsia="Arial Unicode MS" w:hAnsi="Arial Unicode MS"/>
                <w:b w:val="1"/>
                <w:bCs w:val="1"/>
                <w:rtl w:val="0"/>
              </w:rPr>
              <w:t xml:space="preserve">法定赔偿</w:t>
            </w:r>
            <w:r w:rsidDel="00000000" w:rsidR="00000000" w:rsidRPr="00000000">
              <w:rPr>
                <w:rFonts w:ascii="Arial Unicode MS" w:cs="Arial Unicode MS" w:eastAsia="Arial Unicode MS" w:hAnsi="Arial Unicode MS"/>
                <w:rtl w:val="0"/>
              </w:rPr>
              <w:t xml:space="preserve">。</w:t>
            </w:r>
          </w:p>
        </w:tc>
        <w:tc>
          <w:tcPr>
            <w:tcBorders>
              <w:top w:color="dddddd" w:space="0" w:sz="6" w:val="single"/>
              <w:left w:color="dddddd" w:space="0" w:sz="6" w:val="single"/>
              <w:bottom w:color="dddddd" w:space="0" w:sz="6" w:val="single"/>
              <w:right w:color="dddddd"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300" w:lineRule="auto"/>
              <w:rPr>
                <w:rFonts w:ascii="Arial" w:cs="Arial" w:eastAsia="Arial" w:hAnsi="Arial"/>
              </w:rPr>
            </w:pPr>
            <w:r w:rsidDel="00000000" w:rsidR="00000000" w:rsidRPr="00000000">
              <w:rPr>
                <w:rFonts w:ascii="Arial Unicode MS" w:cs="Arial Unicode MS" w:eastAsia="Arial Unicode MS" w:hAnsi="Arial Unicode MS"/>
                <w:b w:val="1"/>
                <w:bCs w:val="1"/>
                <w:rtl w:val="0"/>
              </w:rPr>
              <w:t xml:space="preserve">法定赔偿上限</w:t>
            </w:r>
            <w:r w:rsidDel="00000000" w:rsidR="00000000" w:rsidRPr="00000000">
              <w:rPr>
                <w:rFonts w:ascii="Arial Unicode MS" w:cs="Arial Unicode MS" w:eastAsia="Arial Unicode MS" w:hAnsi="Arial Unicode MS"/>
                <w:rtl w:val="0"/>
              </w:rPr>
              <w:t xml:space="preserve">：500万元人民币。</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rPr>
            </w:pPr>
            <w:r w:rsidDel="00000000" w:rsidR="00000000" w:rsidRPr="00000000">
              <w:rPr>
                <w:rFonts w:ascii="Arial Unicode MS" w:cs="Arial Unicode MS" w:eastAsia="Arial Unicode MS" w:hAnsi="Arial Unicode MS"/>
                <w:b w:val="1"/>
                <w:bCs w:val="1"/>
                <w:rtl w:val="0"/>
              </w:rPr>
              <w:t xml:space="preserve">惩罚性赔偿</w:t>
            </w:r>
            <w:r w:rsidDel="00000000" w:rsidR="00000000" w:rsidRPr="00000000">
              <w:rPr>
                <w:rFonts w:ascii="Arial Unicode MS" w:cs="Arial Unicode MS" w:eastAsia="Arial Unicode MS" w:hAnsi="Arial Unicode MS"/>
                <w:rtl w:val="0"/>
              </w:rPr>
              <w:t xml:space="preserve">：对恶意侵犯商标专用权，情节严重的，可以在按照上述方法确定数额的</w:t>
            </w:r>
            <w:r w:rsidDel="00000000" w:rsidR="00000000" w:rsidRPr="00000000">
              <w:rPr>
                <w:rFonts w:ascii="Arial Unicode MS" w:cs="Arial Unicode MS" w:eastAsia="Arial Unicode MS" w:hAnsi="Arial Unicode MS"/>
                <w:b w:val="1"/>
                <w:bCs w:val="1"/>
                <w:rtl w:val="0"/>
              </w:rPr>
              <w:t xml:space="preserve">1倍以上5倍以下</w:t>
            </w:r>
            <w:r w:rsidDel="00000000" w:rsidR="00000000" w:rsidRPr="00000000">
              <w:rPr>
                <w:rFonts w:ascii="Arial Unicode MS" w:cs="Arial Unicode MS" w:eastAsia="Arial Unicode MS" w:hAnsi="Arial Unicode MS"/>
                <w:rtl w:val="0"/>
              </w:rPr>
              <w:t xml:space="preserve">确定赔偿数额。赔偿数额应当包括权利人为制止侵权行为所支付的合理开支。</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shd w:fill="auto" w:val="clear"/>
              </w:rPr>
            </w:pPr>
            <w:r w:rsidDel="00000000" w:rsidR="00000000" w:rsidRPr="00000000">
              <w:rPr>
                <w:rFonts w:ascii="Arial Unicode MS" w:cs="Arial Unicode MS" w:eastAsia="Arial Unicode MS" w:hAnsi="Arial Unicode MS"/>
                <w:b w:val="1"/>
                <w:bCs w:val="1"/>
                <w:shd w:fill="auto" w:val="clear"/>
                <w:rtl w:val="0"/>
              </w:rPr>
              <w:t xml:space="preserve">合法来源抗辩</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销售不知道是侵犯注册商标专用权的商品，能证明该商品是自己合法取得并说明提供者的。</w:t>
            </w:r>
          </w:p>
        </w:tc>
        <w:tc>
          <w:tcPr>
            <w:tcBorders>
              <w:top w:color="dddddd" w:space="0" w:sz="6" w:val="single"/>
              <w:left w:color="dddddd" w:space="0" w:sz="6" w:val="single"/>
              <w:bottom w:color="dddddd" w:space="0" w:sz="6" w:val="single"/>
              <w:right w:color="dddddd" w:space="0" w:sz="6" w:val="single"/>
            </w:tcBorders>
            <w:shd w:fill="f8f9fa" w:val="clear"/>
            <w:tcMar>
              <w:top w:w="150.0" w:type="dxa"/>
              <w:left w:w="150.0" w:type="dxa"/>
              <w:bottom w:w="150.0" w:type="dxa"/>
              <w:right w:w="15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shd w:fill="auto" w:val="clear"/>
              </w:rPr>
            </w:pPr>
            <w:r w:rsidDel="00000000" w:rsidR="00000000" w:rsidRPr="00000000">
              <w:rPr>
                <w:rFonts w:ascii="Arial Unicode MS" w:cs="Arial Unicode MS" w:eastAsia="Arial Unicode MS" w:hAnsi="Arial Unicode MS"/>
                <w:shd w:fill="auto" w:val="clear"/>
                <w:rtl w:val="0"/>
              </w:rPr>
              <w:t xml:space="preserve">免除</w:t>
            </w:r>
            <w:r w:rsidDel="00000000" w:rsidR="00000000" w:rsidRPr="00000000">
              <w:rPr>
                <w:rFonts w:ascii="Arial Unicode MS" w:cs="Arial Unicode MS" w:eastAsia="Arial Unicode MS" w:hAnsi="Arial Unicode MS"/>
                <w:b w:val="1"/>
                <w:bCs w:val="1"/>
                <w:shd w:fill="auto" w:val="clear"/>
                <w:rtl w:val="0"/>
              </w:rPr>
              <w:t xml:space="preserve">赔偿责任</w:t>
            </w:r>
            <w:r w:rsidDel="00000000" w:rsidR="00000000" w:rsidRPr="00000000">
              <w:rPr>
                <w:rFonts w:ascii="Arial Unicode MS" w:cs="Arial Unicode MS" w:eastAsia="Arial Unicode MS" w:hAnsi="Arial Unicode MS"/>
                <w:shd w:fill="auto" w:val="clear"/>
                <w:rtl w:val="0"/>
              </w:rPr>
              <w:t xml:space="preserve">，但仍然必须停止销售并没收侵权商品。零售商和渠道商必须建立完备的进货查验与合同备案机制。</w:t>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